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16090" w14:textId="77777777" w:rsidR="00876372" w:rsidRDefault="00876372" w:rsidP="00876372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>Obrazloženje</w:t>
      </w:r>
    </w:p>
    <w:p w14:paraId="0D8228C4" w14:textId="77777777" w:rsidR="00876372" w:rsidRDefault="00876372" w:rsidP="00876372">
      <w:pPr>
        <w:pStyle w:val="Tijeloteksta"/>
        <w:spacing w:after="0"/>
        <w:jc w:val="center"/>
        <w:rPr>
          <w:b/>
          <w:color w:val="000000"/>
          <w:sz w:val="22"/>
          <w:szCs w:val="22"/>
        </w:rPr>
      </w:pPr>
    </w:p>
    <w:p w14:paraId="16AB6986" w14:textId="7BBABF26" w:rsidR="00B36A8A" w:rsidRPr="00B36A8A" w:rsidRDefault="00B36A8A" w:rsidP="00B36A8A">
      <w:pPr>
        <w:pStyle w:val="StandardWeb"/>
        <w:ind w:firstLine="720"/>
        <w:jc w:val="both"/>
        <w:rPr>
          <w:color w:val="000000"/>
          <w:sz w:val="22"/>
          <w:szCs w:val="22"/>
        </w:rPr>
      </w:pPr>
      <w:r w:rsidRPr="00B36A8A">
        <w:rPr>
          <w:color w:val="000000"/>
          <w:sz w:val="22"/>
          <w:szCs w:val="22"/>
        </w:rPr>
        <w:t xml:space="preserve">Dana 28.11.2025. godine objavljen je javni natječaj za prodaju zemljišta u k.o. Koprivnica označenog kao: </w:t>
      </w:r>
      <w:bookmarkStart w:id="0" w:name="_Hlk215050447"/>
      <w:r w:rsidRPr="00B36A8A">
        <w:rPr>
          <w:color w:val="000000"/>
          <w:sz w:val="22"/>
          <w:szCs w:val="22"/>
        </w:rPr>
        <w:t>k.č.br. 7926, upisane zk.ul.br. 30632 – Pri sv. Magdaleni, oranica ukupne površine 5.639 m</w:t>
      </w:r>
      <w:r w:rsidRPr="00B36A8A">
        <w:rPr>
          <w:color w:val="000000"/>
          <w:sz w:val="22"/>
          <w:szCs w:val="22"/>
          <w:vertAlign w:val="superscript"/>
        </w:rPr>
        <w:t>2</w:t>
      </w:r>
      <w:r w:rsidRPr="00B36A8A">
        <w:rPr>
          <w:color w:val="000000"/>
          <w:sz w:val="22"/>
          <w:szCs w:val="22"/>
        </w:rPr>
        <w:t>; k.č.br. 7927, upisane u zk.ul.br. 30632 – Pri sv. Magdaleni, oranica ukupne površine 5.917 m</w:t>
      </w:r>
      <w:r w:rsidRPr="00B36A8A">
        <w:rPr>
          <w:color w:val="000000"/>
          <w:sz w:val="22"/>
          <w:szCs w:val="22"/>
          <w:vertAlign w:val="superscript"/>
        </w:rPr>
        <w:t>2</w:t>
      </w:r>
      <w:r w:rsidRPr="00B36A8A">
        <w:rPr>
          <w:color w:val="000000"/>
          <w:sz w:val="22"/>
          <w:szCs w:val="22"/>
        </w:rPr>
        <w:t>; k.č.br. 7928, upisane u zk.ul.br. 2116 – Livada Pri sv. Magdaleni ukupne površine 3.092 m</w:t>
      </w:r>
      <w:r w:rsidRPr="00B36A8A">
        <w:rPr>
          <w:color w:val="000000"/>
          <w:sz w:val="22"/>
          <w:szCs w:val="22"/>
          <w:vertAlign w:val="superscript"/>
        </w:rPr>
        <w:t>2</w:t>
      </w:r>
      <w:r w:rsidRPr="00B36A8A">
        <w:rPr>
          <w:color w:val="000000"/>
          <w:sz w:val="22"/>
          <w:szCs w:val="22"/>
        </w:rPr>
        <w:t>; k.č.br. 7929, upisane u zk.ul.br. 2 – Oranica Pri svetoj Magdaleni ukupne površine 7.420 m</w:t>
      </w:r>
      <w:r w:rsidRPr="00B36A8A">
        <w:rPr>
          <w:color w:val="000000"/>
          <w:sz w:val="22"/>
          <w:szCs w:val="22"/>
          <w:vertAlign w:val="superscript"/>
        </w:rPr>
        <w:t>2</w:t>
      </w:r>
      <w:r w:rsidRPr="00B36A8A">
        <w:rPr>
          <w:color w:val="000000"/>
          <w:sz w:val="22"/>
          <w:szCs w:val="22"/>
        </w:rPr>
        <w:t>; k.č.br. 7930/1, upisane u zk.ul.br. 2116 – Oranica Pri svetoj Magdaleni ukupne površine 1.983 m</w:t>
      </w:r>
      <w:r w:rsidRPr="00B36A8A">
        <w:rPr>
          <w:color w:val="000000"/>
          <w:sz w:val="22"/>
          <w:szCs w:val="22"/>
          <w:vertAlign w:val="superscript"/>
        </w:rPr>
        <w:t>2</w:t>
      </w:r>
      <w:r w:rsidRPr="00B36A8A">
        <w:rPr>
          <w:color w:val="000000"/>
          <w:sz w:val="22"/>
          <w:szCs w:val="22"/>
        </w:rPr>
        <w:t>; k.č.br. 7930/2, upisane u zk.ul.br. 2116 – Oranica Pri sv. Magdaleni ukupne površine 2.071 m</w:t>
      </w:r>
      <w:r w:rsidRPr="00B36A8A">
        <w:rPr>
          <w:color w:val="000000"/>
          <w:sz w:val="22"/>
          <w:szCs w:val="22"/>
          <w:vertAlign w:val="superscript"/>
        </w:rPr>
        <w:t>2</w:t>
      </w:r>
      <w:r w:rsidRPr="00B36A8A">
        <w:rPr>
          <w:color w:val="000000"/>
          <w:sz w:val="22"/>
          <w:szCs w:val="22"/>
        </w:rPr>
        <w:t>; k.č.br. 7931, upisane u zk.ul.br. 2116 – Oranica Pri sv. Magdaleni ukupne površine 2.856 m</w:t>
      </w:r>
      <w:r w:rsidRPr="00B36A8A">
        <w:rPr>
          <w:color w:val="000000"/>
          <w:sz w:val="22"/>
          <w:szCs w:val="22"/>
          <w:vertAlign w:val="superscript"/>
        </w:rPr>
        <w:t>2</w:t>
      </w:r>
      <w:r w:rsidRPr="00B36A8A">
        <w:rPr>
          <w:color w:val="000000"/>
          <w:sz w:val="22"/>
          <w:szCs w:val="22"/>
        </w:rPr>
        <w:t>; k.č.br. 7932, upisane u zk.ul.br. 2116 – Oranica Pri sv. Magdaleni ukupne površine 2.932 m</w:t>
      </w:r>
      <w:r w:rsidRPr="00B36A8A">
        <w:rPr>
          <w:color w:val="000000"/>
          <w:sz w:val="22"/>
          <w:szCs w:val="22"/>
          <w:vertAlign w:val="superscript"/>
        </w:rPr>
        <w:t>2</w:t>
      </w:r>
      <w:r w:rsidRPr="00B36A8A">
        <w:rPr>
          <w:color w:val="000000"/>
          <w:sz w:val="22"/>
          <w:szCs w:val="22"/>
        </w:rPr>
        <w:t>; k.č.br. 7933, upisane u zk.ul.br. 2116 – Oranica Pri sv. Magdaleni ukupne površine 5.745 m</w:t>
      </w:r>
      <w:r w:rsidRPr="00B36A8A">
        <w:rPr>
          <w:color w:val="000000"/>
          <w:sz w:val="22"/>
          <w:szCs w:val="22"/>
          <w:vertAlign w:val="superscript"/>
        </w:rPr>
        <w:t>2</w:t>
      </w:r>
      <w:bookmarkEnd w:id="0"/>
      <w:r w:rsidRPr="00B36A8A">
        <w:rPr>
          <w:color w:val="000000"/>
          <w:sz w:val="22"/>
          <w:szCs w:val="22"/>
        </w:rPr>
        <w:t xml:space="preserve"> – sveukupne površine 37.655 m</w:t>
      </w:r>
      <w:r w:rsidRPr="00B36A8A">
        <w:rPr>
          <w:color w:val="000000"/>
          <w:sz w:val="22"/>
          <w:szCs w:val="22"/>
          <w:vertAlign w:val="superscript"/>
        </w:rPr>
        <w:t>2</w:t>
      </w:r>
      <w:r w:rsidRPr="00B36A8A">
        <w:rPr>
          <w:color w:val="000000"/>
          <w:sz w:val="22"/>
          <w:szCs w:val="22"/>
        </w:rPr>
        <w:t xml:space="preserve"> po početnoj cijeni od 2.183.990,00 EUR. Jamčevina iznosi 218.399,00 EUR. </w:t>
      </w:r>
      <w:r w:rsidR="00943E9B">
        <w:rPr>
          <w:color w:val="000000"/>
          <w:sz w:val="22"/>
          <w:szCs w:val="22"/>
        </w:rPr>
        <w:t xml:space="preserve">Za predmetne nekretnine izrađen je </w:t>
      </w:r>
      <w:r w:rsidRPr="00B36A8A">
        <w:rPr>
          <w:color w:val="000000"/>
          <w:sz w:val="22"/>
          <w:szCs w:val="22"/>
        </w:rPr>
        <w:t xml:space="preserve"> Procjemben</w:t>
      </w:r>
      <w:r w:rsidR="00943E9B">
        <w:rPr>
          <w:color w:val="000000"/>
          <w:sz w:val="22"/>
          <w:szCs w:val="22"/>
        </w:rPr>
        <w:t>i</w:t>
      </w:r>
      <w:r w:rsidRPr="00B36A8A">
        <w:rPr>
          <w:color w:val="000000"/>
          <w:sz w:val="22"/>
          <w:szCs w:val="22"/>
        </w:rPr>
        <w:t xml:space="preserve"> elaborata tržišne vrijednosti nekretnin</w:t>
      </w:r>
      <w:r w:rsidR="00943E9B">
        <w:rPr>
          <w:color w:val="000000"/>
          <w:sz w:val="22"/>
          <w:szCs w:val="22"/>
        </w:rPr>
        <w:t>a broj:</w:t>
      </w:r>
      <w:r w:rsidRPr="00B36A8A">
        <w:rPr>
          <w:color w:val="000000"/>
          <w:sz w:val="22"/>
          <w:szCs w:val="22"/>
        </w:rPr>
        <w:t xml:space="preserve"> 0611/2025 od 21.11.2025.  od strane VEGA – ING obrta za inženjerstvo i procjene nekretnina, vlasnik Lidija </w:t>
      </w:r>
      <w:proofErr w:type="spellStart"/>
      <w:r w:rsidRPr="00B36A8A">
        <w:rPr>
          <w:color w:val="000000"/>
          <w:sz w:val="22"/>
          <w:szCs w:val="22"/>
        </w:rPr>
        <w:t>Kušt</w:t>
      </w:r>
      <w:proofErr w:type="spellEnd"/>
      <w:r w:rsidRPr="00B36A8A">
        <w:rPr>
          <w:color w:val="000000"/>
          <w:sz w:val="22"/>
          <w:szCs w:val="22"/>
        </w:rPr>
        <w:t>, Đurđevac, Kralja Tomislava 62 za nekretninu koji je prihvaćen na 22. sjednici Procjeniteljskog povjerenstva za tržište nekretnina na području Grada Koprivnice za period od 2023. do 2027.</w:t>
      </w:r>
      <w:r w:rsidR="007D17B3">
        <w:rPr>
          <w:color w:val="000000"/>
          <w:sz w:val="22"/>
          <w:szCs w:val="22"/>
        </w:rPr>
        <w:t xml:space="preserve"> </w:t>
      </w:r>
      <w:r w:rsidRPr="00B36A8A">
        <w:rPr>
          <w:color w:val="000000"/>
          <w:sz w:val="22"/>
          <w:szCs w:val="22"/>
        </w:rPr>
        <w:t>godine održanoj 25.11.2025. godine.</w:t>
      </w:r>
    </w:p>
    <w:p w14:paraId="48FBEAC2" w14:textId="2CD224BF" w:rsidR="00B36A8A" w:rsidRPr="00B36A8A" w:rsidRDefault="00B36A8A" w:rsidP="00B36A8A">
      <w:pPr>
        <w:pStyle w:val="StandardWeb"/>
        <w:ind w:firstLine="720"/>
        <w:jc w:val="both"/>
        <w:rPr>
          <w:color w:val="000000"/>
          <w:sz w:val="22"/>
          <w:szCs w:val="22"/>
        </w:rPr>
      </w:pPr>
      <w:r w:rsidRPr="00B36A8A">
        <w:rPr>
          <w:color w:val="000000"/>
          <w:sz w:val="22"/>
          <w:szCs w:val="22"/>
        </w:rPr>
        <w:t>Javna dražba održana je 08.12.2025.</w:t>
      </w:r>
      <w:r w:rsidR="00943E9B">
        <w:rPr>
          <w:color w:val="000000"/>
          <w:sz w:val="22"/>
          <w:szCs w:val="22"/>
        </w:rPr>
        <w:t xml:space="preserve"> godine</w:t>
      </w:r>
      <w:r w:rsidRPr="00B36A8A">
        <w:rPr>
          <w:color w:val="000000"/>
          <w:sz w:val="22"/>
          <w:szCs w:val="22"/>
        </w:rPr>
        <w:t xml:space="preserve"> i na istoj je sudjelovalo trgovačko društvo </w:t>
      </w:r>
      <w:r>
        <w:rPr>
          <w:color w:val="000000"/>
          <w:sz w:val="22"/>
          <w:szCs w:val="22"/>
        </w:rPr>
        <w:t xml:space="preserve">PEVEX d.d., OIB: </w:t>
      </w:r>
      <w:r w:rsidRPr="00B36A8A">
        <w:rPr>
          <w:color w:val="000000"/>
          <w:sz w:val="22"/>
          <w:szCs w:val="22"/>
        </w:rPr>
        <w:t>73660371074</w:t>
      </w:r>
      <w:r>
        <w:rPr>
          <w:color w:val="000000"/>
          <w:sz w:val="22"/>
          <w:szCs w:val="22"/>
        </w:rPr>
        <w:t>, Savska cesta 84, Sesvete</w:t>
      </w:r>
      <w:r w:rsidRPr="00B36A8A">
        <w:rPr>
          <w:color w:val="000000"/>
          <w:sz w:val="22"/>
          <w:szCs w:val="22"/>
        </w:rPr>
        <w:t xml:space="preserve"> kao jedini ponuditelj. </w:t>
      </w:r>
      <w:r w:rsidR="00943E9B">
        <w:rPr>
          <w:color w:val="000000"/>
          <w:sz w:val="22"/>
          <w:szCs w:val="22"/>
        </w:rPr>
        <w:t>Opunomoć</w:t>
      </w:r>
      <w:r w:rsidR="000D345F">
        <w:rPr>
          <w:color w:val="000000"/>
          <w:sz w:val="22"/>
          <w:szCs w:val="22"/>
        </w:rPr>
        <w:t>e</w:t>
      </w:r>
      <w:r w:rsidR="00943E9B">
        <w:rPr>
          <w:color w:val="000000"/>
          <w:sz w:val="22"/>
          <w:szCs w:val="22"/>
        </w:rPr>
        <w:t xml:space="preserve">na osoba u ime ponuditelja </w:t>
      </w:r>
      <w:r w:rsidRPr="00B36A8A">
        <w:rPr>
          <w:color w:val="000000"/>
          <w:sz w:val="22"/>
          <w:szCs w:val="22"/>
        </w:rPr>
        <w:t xml:space="preserve"> preda</w:t>
      </w:r>
      <w:r w:rsidR="00943E9B">
        <w:rPr>
          <w:color w:val="000000"/>
          <w:sz w:val="22"/>
          <w:szCs w:val="22"/>
        </w:rPr>
        <w:t>la</w:t>
      </w:r>
      <w:r w:rsidRPr="00B36A8A">
        <w:rPr>
          <w:color w:val="000000"/>
          <w:sz w:val="22"/>
          <w:szCs w:val="22"/>
        </w:rPr>
        <w:t xml:space="preserve"> prije početka dražbe dokaz o uplaćenoj jamčevini u iznosu od 218.399,00 EUR, Izvadak iz sudskog registra, elektronički zapis od </w:t>
      </w:r>
      <w:r>
        <w:rPr>
          <w:color w:val="000000"/>
          <w:sz w:val="22"/>
          <w:szCs w:val="22"/>
        </w:rPr>
        <w:t>03</w:t>
      </w:r>
      <w:r w:rsidRPr="00B36A8A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12</w:t>
      </w:r>
      <w:r w:rsidRPr="00B36A8A">
        <w:rPr>
          <w:color w:val="000000"/>
          <w:sz w:val="22"/>
          <w:szCs w:val="22"/>
        </w:rPr>
        <w:t>.2025. u 1</w:t>
      </w:r>
      <w:r>
        <w:rPr>
          <w:color w:val="000000"/>
          <w:sz w:val="22"/>
          <w:szCs w:val="22"/>
        </w:rPr>
        <w:t>0</w:t>
      </w:r>
      <w:r w:rsidRPr="00B36A8A">
        <w:rPr>
          <w:color w:val="000000"/>
          <w:sz w:val="22"/>
          <w:szCs w:val="22"/>
        </w:rPr>
        <w:t>:</w:t>
      </w:r>
      <w:r>
        <w:rPr>
          <w:color w:val="000000"/>
          <w:sz w:val="22"/>
          <w:szCs w:val="22"/>
        </w:rPr>
        <w:t>14</w:t>
      </w:r>
      <w:r w:rsidRPr="00B36A8A">
        <w:rPr>
          <w:color w:val="000000"/>
          <w:sz w:val="22"/>
          <w:szCs w:val="22"/>
        </w:rPr>
        <w:t>:</w:t>
      </w:r>
      <w:r>
        <w:rPr>
          <w:color w:val="000000"/>
          <w:sz w:val="22"/>
          <w:szCs w:val="22"/>
        </w:rPr>
        <w:t>51</w:t>
      </w:r>
      <w:r w:rsidRPr="00B36A8A">
        <w:rPr>
          <w:color w:val="000000"/>
          <w:sz w:val="22"/>
          <w:szCs w:val="22"/>
        </w:rPr>
        <w:t xml:space="preserve"> sati za trgovačko društvo </w:t>
      </w:r>
      <w:r>
        <w:rPr>
          <w:color w:val="000000"/>
          <w:sz w:val="22"/>
          <w:szCs w:val="22"/>
        </w:rPr>
        <w:t>PEVEX d.d., punomoć za zastupanje i poduzimanje svih radnji u javnom natječaju i javnoj dražbi Grada Koprivnice za prodaju gore navedenih nekretnina</w:t>
      </w:r>
      <w:r w:rsidRPr="00B36A8A">
        <w:rPr>
          <w:color w:val="000000"/>
          <w:sz w:val="22"/>
          <w:szCs w:val="22"/>
        </w:rPr>
        <w:t xml:space="preserve"> i osobnu iskaznicu na uvid. Budući da su ispunjene sve formalne pretpostavke za </w:t>
      </w:r>
      <w:r w:rsidR="00943E9B">
        <w:rPr>
          <w:color w:val="000000"/>
          <w:sz w:val="22"/>
          <w:szCs w:val="22"/>
        </w:rPr>
        <w:t xml:space="preserve">sudjelovanje na </w:t>
      </w:r>
      <w:r w:rsidRPr="00B36A8A">
        <w:rPr>
          <w:color w:val="000000"/>
          <w:sz w:val="22"/>
          <w:szCs w:val="22"/>
        </w:rPr>
        <w:t xml:space="preserve"> javn</w:t>
      </w:r>
      <w:r w:rsidR="00943E9B">
        <w:rPr>
          <w:color w:val="000000"/>
          <w:sz w:val="22"/>
          <w:szCs w:val="22"/>
        </w:rPr>
        <w:t>oj</w:t>
      </w:r>
      <w:r w:rsidRPr="00B36A8A">
        <w:rPr>
          <w:color w:val="000000"/>
          <w:sz w:val="22"/>
          <w:szCs w:val="22"/>
        </w:rPr>
        <w:t xml:space="preserve"> dražb</w:t>
      </w:r>
      <w:r w:rsidR="00943E9B">
        <w:rPr>
          <w:color w:val="000000"/>
          <w:sz w:val="22"/>
          <w:szCs w:val="22"/>
        </w:rPr>
        <w:t>i</w:t>
      </w:r>
      <w:r w:rsidRPr="00B36A8A">
        <w:rPr>
          <w:color w:val="000000"/>
          <w:sz w:val="22"/>
          <w:szCs w:val="22"/>
        </w:rPr>
        <w:t>, povjerenstvo je odredilo minimalni dražbeni korak u iznosu od 10,00 EUR te je natjecatelj povrh početne cijene od 2.183.990,00 EUR ponudio iznos od 1</w:t>
      </w:r>
      <w:r>
        <w:rPr>
          <w:color w:val="000000"/>
          <w:sz w:val="22"/>
          <w:szCs w:val="22"/>
        </w:rPr>
        <w:t>0</w:t>
      </w:r>
      <w:r w:rsidRPr="00B36A8A">
        <w:rPr>
          <w:color w:val="000000"/>
          <w:sz w:val="22"/>
          <w:szCs w:val="22"/>
        </w:rPr>
        <w:t xml:space="preserve">,00 EUR te mu se nekretnina prodaje za </w:t>
      </w:r>
      <w:r>
        <w:rPr>
          <w:color w:val="000000"/>
          <w:sz w:val="22"/>
          <w:szCs w:val="22"/>
        </w:rPr>
        <w:t>2.184</w:t>
      </w:r>
      <w:r w:rsidRPr="00B36A8A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0</w:t>
      </w:r>
      <w:r w:rsidRPr="00B36A8A">
        <w:rPr>
          <w:color w:val="000000"/>
          <w:sz w:val="22"/>
          <w:szCs w:val="22"/>
        </w:rPr>
        <w:t>00,00 EUR. Natjecatelju se jamčevina uračunava u kupoprodajnu cijenu.</w:t>
      </w:r>
    </w:p>
    <w:p w14:paraId="0369ED58" w14:textId="77777777" w:rsidR="00B36A8A" w:rsidRDefault="00B36A8A" w:rsidP="00B36A8A">
      <w:pPr>
        <w:pStyle w:val="StandardWeb"/>
        <w:ind w:firstLine="720"/>
        <w:rPr>
          <w:color w:val="000000"/>
          <w:sz w:val="22"/>
          <w:szCs w:val="22"/>
        </w:rPr>
      </w:pPr>
      <w:r w:rsidRPr="00B36A8A">
        <w:rPr>
          <w:color w:val="000000"/>
          <w:sz w:val="22"/>
          <w:szCs w:val="22"/>
        </w:rPr>
        <w:t>Sukladno naprijed navedenom, predlaže se donošenje ove Odluke.</w:t>
      </w:r>
    </w:p>
    <w:p w14:paraId="1F3E81E7" w14:textId="77777777" w:rsidR="00B36A8A" w:rsidRPr="00B36A8A" w:rsidRDefault="00B36A8A" w:rsidP="00B36A8A">
      <w:pPr>
        <w:pStyle w:val="StandardWeb"/>
        <w:ind w:firstLine="720"/>
        <w:rPr>
          <w:color w:val="000000"/>
          <w:sz w:val="22"/>
          <w:szCs w:val="22"/>
        </w:rPr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1928"/>
        <w:gridCol w:w="3685"/>
      </w:tblGrid>
      <w:tr w:rsidR="00B36A8A" w:rsidRPr="00B36A8A" w14:paraId="1889465B" w14:textId="77777777" w:rsidTr="00B36A8A">
        <w:trPr>
          <w:jc w:val="center"/>
        </w:trPr>
        <w:tc>
          <w:tcPr>
            <w:tcW w:w="3685" w:type="dxa"/>
            <w:hideMark/>
          </w:tcPr>
          <w:p w14:paraId="3751188C" w14:textId="77777777" w:rsidR="00B36A8A" w:rsidRPr="00B36A8A" w:rsidRDefault="00B36A8A" w:rsidP="00B36A8A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 w:rsidRPr="00B36A8A">
              <w:rPr>
                <w:color w:val="000000"/>
                <w:sz w:val="22"/>
                <w:szCs w:val="22"/>
              </w:rPr>
              <w:t>Nositelj izrade akta:</w:t>
            </w:r>
          </w:p>
          <w:p w14:paraId="3D278608" w14:textId="77777777" w:rsidR="00B36A8A" w:rsidRPr="00B36A8A" w:rsidRDefault="00B36A8A" w:rsidP="00B36A8A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 w:rsidRPr="00B36A8A">
              <w:rPr>
                <w:color w:val="000000"/>
                <w:sz w:val="22"/>
                <w:szCs w:val="22"/>
              </w:rPr>
              <w:t>Upravni odjel za poslove Gradskog vijeća i pravne poslove</w:t>
            </w:r>
          </w:p>
          <w:p w14:paraId="304DC337" w14:textId="26A524E1" w:rsidR="00B36A8A" w:rsidRPr="00B36A8A" w:rsidRDefault="003A4075" w:rsidP="00B36A8A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Pročelnica</w:t>
            </w:r>
          </w:p>
          <w:p w14:paraId="3246D472" w14:textId="2884971E" w:rsidR="00B36A8A" w:rsidRPr="00B36A8A" w:rsidRDefault="003A4075" w:rsidP="00B36A8A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Ida Bakrač</w:t>
            </w:r>
          </w:p>
        </w:tc>
        <w:tc>
          <w:tcPr>
            <w:tcW w:w="1928" w:type="dxa"/>
          </w:tcPr>
          <w:p w14:paraId="6250ED7B" w14:textId="77777777" w:rsidR="00B36A8A" w:rsidRPr="00B36A8A" w:rsidRDefault="00B36A8A" w:rsidP="00B36A8A">
            <w:pPr>
              <w:pStyle w:val="StandardWeb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hideMark/>
          </w:tcPr>
          <w:p w14:paraId="55B3803E" w14:textId="77777777" w:rsidR="00B36A8A" w:rsidRPr="00B36A8A" w:rsidRDefault="00B36A8A" w:rsidP="00B36A8A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 w:rsidRPr="00B36A8A">
              <w:rPr>
                <w:color w:val="000000"/>
                <w:sz w:val="22"/>
                <w:szCs w:val="22"/>
              </w:rPr>
              <w:t>Predlagatelj akta:</w:t>
            </w:r>
          </w:p>
          <w:p w14:paraId="624BAE53" w14:textId="77777777" w:rsidR="00B36A8A" w:rsidRPr="00B36A8A" w:rsidRDefault="00B36A8A" w:rsidP="00B36A8A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 w:rsidRPr="00B36A8A">
              <w:rPr>
                <w:color w:val="000000"/>
                <w:sz w:val="22"/>
                <w:szCs w:val="22"/>
              </w:rPr>
              <w:t>GRADONAČELNIK</w:t>
            </w:r>
          </w:p>
          <w:p w14:paraId="0C6BA443" w14:textId="77777777" w:rsidR="00B36A8A" w:rsidRPr="00B36A8A" w:rsidRDefault="00B36A8A" w:rsidP="00B36A8A">
            <w:pPr>
              <w:pStyle w:val="StandardWeb"/>
              <w:jc w:val="center"/>
              <w:rPr>
                <w:color w:val="000000"/>
                <w:sz w:val="22"/>
                <w:szCs w:val="22"/>
              </w:rPr>
            </w:pPr>
            <w:r w:rsidRPr="00B36A8A">
              <w:rPr>
                <w:color w:val="000000"/>
                <w:sz w:val="22"/>
                <w:szCs w:val="22"/>
              </w:rPr>
              <w:t>Mišel Jakšić</w:t>
            </w:r>
          </w:p>
        </w:tc>
      </w:tr>
    </w:tbl>
    <w:p w14:paraId="655CC462" w14:textId="77777777" w:rsidR="00B36A8A" w:rsidRPr="00B36A8A" w:rsidRDefault="00B36A8A" w:rsidP="00B36A8A">
      <w:pPr>
        <w:pStyle w:val="StandardWeb"/>
        <w:rPr>
          <w:b/>
          <w:color w:val="000000"/>
          <w:sz w:val="22"/>
          <w:szCs w:val="22"/>
        </w:rPr>
      </w:pPr>
    </w:p>
    <w:p w14:paraId="32E6CDB3" w14:textId="77777777" w:rsidR="00B36A8A" w:rsidRPr="00B36A8A" w:rsidRDefault="00B36A8A" w:rsidP="00B36A8A">
      <w:pPr>
        <w:pStyle w:val="StandardWeb"/>
        <w:rPr>
          <w:color w:val="000000"/>
          <w:sz w:val="22"/>
          <w:szCs w:val="22"/>
        </w:rPr>
      </w:pPr>
    </w:p>
    <w:p w14:paraId="5562A05F" w14:textId="7B72E2D6" w:rsidR="00876372" w:rsidRDefault="00876372" w:rsidP="00876372">
      <w:pPr>
        <w:pStyle w:val="StandardWeb"/>
        <w:jc w:val="both"/>
        <w:rPr>
          <w:color w:val="000000"/>
          <w:sz w:val="22"/>
          <w:szCs w:val="22"/>
        </w:rPr>
      </w:pPr>
    </w:p>
    <w:p w14:paraId="5CBB7B2B" w14:textId="28332535" w:rsidR="00611B44" w:rsidRPr="00876372" w:rsidRDefault="00611B44" w:rsidP="00876372"/>
    <w:sectPr w:rsidR="00611B44" w:rsidRPr="00876372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A80A8" w14:textId="77777777" w:rsidR="007035C0" w:rsidRDefault="007035C0" w:rsidP="008E4B08">
      <w:r>
        <w:separator/>
      </w:r>
    </w:p>
  </w:endnote>
  <w:endnote w:type="continuationSeparator" w:id="0">
    <w:p w14:paraId="25E6E67E" w14:textId="77777777" w:rsidR="007035C0" w:rsidRDefault="007035C0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DE323" w14:textId="77777777" w:rsidR="007035C0" w:rsidRDefault="007035C0" w:rsidP="008E4B08">
      <w:r>
        <w:separator/>
      </w:r>
    </w:p>
  </w:footnote>
  <w:footnote w:type="continuationSeparator" w:id="0">
    <w:p w14:paraId="26E771D2" w14:textId="77777777" w:rsidR="007035C0" w:rsidRDefault="007035C0" w:rsidP="008E4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518C9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345F"/>
    <w:rsid w:val="000D6B78"/>
    <w:rsid w:val="000D77A1"/>
    <w:rsid w:val="000E73B3"/>
    <w:rsid w:val="00127FD4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070D2"/>
    <w:rsid w:val="003502B7"/>
    <w:rsid w:val="00353ACF"/>
    <w:rsid w:val="003A3C84"/>
    <w:rsid w:val="003A4075"/>
    <w:rsid w:val="003B07B2"/>
    <w:rsid w:val="003C0B73"/>
    <w:rsid w:val="003C3CC4"/>
    <w:rsid w:val="003C7570"/>
    <w:rsid w:val="003D5D0A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7035C0"/>
    <w:rsid w:val="007204B5"/>
    <w:rsid w:val="0072201D"/>
    <w:rsid w:val="00772C92"/>
    <w:rsid w:val="0078495E"/>
    <w:rsid w:val="00785F5F"/>
    <w:rsid w:val="007D17B3"/>
    <w:rsid w:val="007E51EC"/>
    <w:rsid w:val="007E6487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E4B08"/>
    <w:rsid w:val="0090739C"/>
    <w:rsid w:val="00940688"/>
    <w:rsid w:val="00943E9B"/>
    <w:rsid w:val="00987945"/>
    <w:rsid w:val="009B6D94"/>
    <w:rsid w:val="009D4CD1"/>
    <w:rsid w:val="009F199D"/>
    <w:rsid w:val="00A1543D"/>
    <w:rsid w:val="00A32554"/>
    <w:rsid w:val="00A358E8"/>
    <w:rsid w:val="00A837C0"/>
    <w:rsid w:val="00AD5620"/>
    <w:rsid w:val="00AE3F9F"/>
    <w:rsid w:val="00AE7275"/>
    <w:rsid w:val="00B25E9D"/>
    <w:rsid w:val="00B356AC"/>
    <w:rsid w:val="00B36A8A"/>
    <w:rsid w:val="00B375EA"/>
    <w:rsid w:val="00B4739E"/>
    <w:rsid w:val="00B527FE"/>
    <w:rsid w:val="00B565BF"/>
    <w:rsid w:val="00B7391D"/>
    <w:rsid w:val="00B97A31"/>
    <w:rsid w:val="00BA3790"/>
    <w:rsid w:val="00C01F62"/>
    <w:rsid w:val="00C25A85"/>
    <w:rsid w:val="00C34B71"/>
    <w:rsid w:val="00C520E0"/>
    <w:rsid w:val="00C64046"/>
    <w:rsid w:val="00C65027"/>
    <w:rsid w:val="00C82211"/>
    <w:rsid w:val="00C8267C"/>
    <w:rsid w:val="00CC2AB8"/>
    <w:rsid w:val="00CD55F6"/>
    <w:rsid w:val="00CD7D6A"/>
    <w:rsid w:val="00CF1CF5"/>
    <w:rsid w:val="00D012D4"/>
    <w:rsid w:val="00D07BAC"/>
    <w:rsid w:val="00D354EC"/>
    <w:rsid w:val="00D35C9E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  <w:style w:type="paragraph" w:styleId="Revizija">
    <w:name w:val="Revision"/>
    <w:hidden/>
    <w:uiPriority w:val="99"/>
    <w:semiHidden/>
    <w:rsid w:val="00943E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Mateja Čok</cp:lastModifiedBy>
  <cp:revision>40</cp:revision>
  <cp:lastPrinted>2025-12-11T07:54:00Z</cp:lastPrinted>
  <dcterms:created xsi:type="dcterms:W3CDTF">2022-03-18T08:30:00Z</dcterms:created>
  <dcterms:modified xsi:type="dcterms:W3CDTF">2025-12-11T07:54:00Z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